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EE0" w:rsidRDefault="00E93EE0" w:rsidP="00E93EE0">
      <w:pPr>
        <w:spacing w:after="0" w:line="240" w:lineRule="auto"/>
        <w:jc w:val="center"/>
        <w:rPr>
          <w:rFonts w:eastAsia="Times New Roman" w:cs="Times New Roman"/>
          <w:b/>
          <w:bCs/>
          <w:szCs w:val="24"/>
          <w:lang w:eastAsia="es-CO"/>
        </w:rPr>
      </w:pPr>
    </w:p>
    <w:p w:rsidR="00E93EE0" w:rsidRDefault="00E93EE0" w:rsidP="00E93EE0">
      <w:pPr>
        <w:spacing w:after="0" w:line="240" w:lineRule="auto"/>
        <w:jc w:val="center"/>
        <w:rPr>
          <w:rFonts w:eastAsia="Times New Roman" w:cs="Times New Roman"/>
          <w:b/>
          <w:bCs/>
          <w:szCs w:val="24"/>
          <w:lang w:eastAsia="es-CO"/>
        </w:rPr>
      </w:pPr>
    </w:p>
    <w:p w:rsidR="00E93EE0" w:rsidRPr="00E93EE0" w:rsidRDefault="00E93EE0" w:rsidP="00E93EE0">
      <w:pPr>
        <w:spacing w:after="0" w:line="240" w:lineRule="auto"/>
        <w:jc w:val="center"/>
        <w:rPr>
          <w:rFonts w:eastAsia="Times New Roman" w:cs="Times New Roman"/>
          <w:szCs w:val="24"/>
          <w:lang w:eastAsia="es-CO"/>
        </w:rPr>
      </w:pPr>
      <w:r w:rsidRPr="00E93EE0">
        <w:rPr>
          <w:rFonts w:eastAsia="Times New Roman" w:cs="Times New Roman"/>
          <w:b/>
          <w:bCs/>
          <w:szCs w:val="24"/>
          <w:lang w:eastAsia="es-CO"/>
        </w:rPr>
        <w:t>OFICIO Nº 015160</w:t>
      </w:r>
    </w:p>
    <w:p w:rsidR="00E93EE0" w:rsidRPr="00E93EE0" w:rsidRDefault="00E93EE0" w:rsidP="00E93EE0">
      <w:pPr>
        <w:spacing w:after="0" w:line="240" w:lineRule="auto"/>
        <w:jc w:val="center"/>
        <w:rPr>
          <w:rFonts w:eastAsia="Times New Roman" w:cs="Times New Roman"/>
          <w:szCs w:val="24"/>
          <w:lang w:eastAsia="es-CO"/>
        </w:rPr>
      </w:pPr>
      <w:r w:rsidRPr="00E93EE0">
        <w:rPr>
          <w:rFonts w:eastAsia="Times New Roman" w:cs="Times New Roman"/>
          <w:b/>
          <w:bCs/>
          <w:szCs w:val="24"/>
          <w:lang w:eastAsia="es-CO"/>
        </w:rPr>
        <w:t>25-05-2015</w:t>
      </w:r>
    </w:p>
    <w:p w:rsidR="00E93EE0" w:rsidRPr="00E93EE0" w:rsidRDefault="00E93EE0" w:rsidP="00E93EE0">
      <w:pPr>
        <w:spacing w:after="0" w:line="240" w:lineRule="auto"/>
        <w:jc w:val="center"/>
        <w:rPr>
          <w:rFonts w:eastAsia="Times New Roman" w:cs="Times New Roman"/>
          <w:szCs w:val="24"/>
          <w:lang w:eastAsia="es-CO"/>
        </w:rPr>
      </w:pPr>
      <w:r w:rsidRPr="00E93EE0">
        <w:rPr>
          <w:rFonts w:eastAsia="Times New Roman" w:cs="Times New Roman"/>
          <w:b/>
          <w:bCs/>
          <w:szCs w:val="24"/>
          <w:lang w:eastAsia="es-CO"/>
        </w:rPr>
        <w:t>DIAN</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b/>
          <w:bCs/>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b/>
          <w:bCs/>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Subdirección de Gestión Normativa y Doctrina</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Bogotá, D.C.</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100208221-000694</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b/>
          <w:bCs/>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b/>
          <w:bCs/>
          <w:szCs w:val="24"/>
          <w:lang w:eastAsia="es-CO"/>
        </w:rPr>
        <w:t>Referencia: </w:t>
      </w:r>
      <w:r w:rsidRPr="00E93EE0">
        <w:rPr>
          <w:rFonts w:eastAsia="Times New Roman" w:cs="Times New Roman"/>
          <w:szCs w:val="24"/>
          <w:lang w:eastAsia="es-CO"/>
        </w:rPr>
        <w:t>Radicado número 004738 del 9 de febrero de 2015.</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b/>
          <w:bCs/>
          <w:szCs w:val="24"/>
          <w:lang w:eastAsia="es-CO"/>
        </w:rPr>
        <w:t>Tema:</w:t>
      </w:r>
      <w:r w:rsidRPr="00E93EE0">
        <w:rPr>
          <w:rFonts w:eastAsia="Times New Roman" w:cs="Times New Roman"/>
          <w:szCs w:val="24"/>
          <w:lang w:eastAsia="es-CO"/>
        </w:rPr>
        <w:t> Impuesto a la Riqueza Impuesto sobre la Renta y Complementarios Procedimiento Tributario</w:t>
      </w:r>
    </w:p>
    <w:p w:rsidR="00E93EE0" w:rsidRDefault="00E93EE0" w:rsidP="00E93EE0">
      <w:pPr>
        <w:spacing w:after="0" w:line="240" w:lineRule="auto"/>
        <w:jc w:val="both"/>
        <w:rPr>
          <w:rFonts w:eastAsia="Times New Roman" w:cs="Times New Roman"/>
          <w:b/>
          <w:bCs/>
          <w:szCs w:val="24"/>
          <w:lang w:eastAsia="es-CO"/>
        </w:rPr>
      </w:pP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b/>
          <w:bCs/>
          <w:szCs w:val="24"/>
          <w:lang w:eastAsia="es-CO"/>
        </w:rPr>
        <w:t>Descriptores:</w:t>
      </w:r>
      <w:r w:rsidRPr="00E93EE0">
        <w:rPr>
          <w:rFonts w:eastAsia="Times New Roman" w:cs="Times New Roman"/>
          <w:szCs w:val="24"/>
          <w:lang w:eastAsia="es-CO"/>
        </w:rPr>
        <w:t> Hecho Generador; Costos y Deducciones; Condición Especial para el Pago de Impuestos, Tasas y Contribuciones; Remisión de las Obligaciones Tributarias; Terminación por Mutuo Acuerdo</w:t>
      </w:r>
    </w:p>
    <w:p w:rsidR="00E93EE0" w:rsidRDefault="00E93EE0" w:rsidP="00E93EE0">
      <w:pPr>
        <w:spacing w:after="0" w:line="240" w:lineRule="auto"/>
        <w:jc w:val="both"/>
        <w:rPr>
          <w:rFonts w:eastAsia="Times New Roman" w:cs="Times New Roman"/>
          <w:b/>
          <w:bCs/>
          <w:szCs w:val="24"/>
          <w:lang w:eastAsia="es-CO"/>
        </w:rPr>
      </w:pP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b/>
          <w:bCs/>
          <w:szCs w:val="24"/>
          <w:lang w:eastAsia="es-CO"/>
        </w:rPr>
        <w:t>Fuentes formales:</w:t>
      </w:r>
      <w:r w:rsidRPr="00E93EE0">
        <w:rPr>
          <w:rFonts w:eastAsia="Times New Roman" w:cs="Times New Roman"/>
          <w:szCs w:val="24"/>
          <w:lang w:eastAsia="es-CO"/>
        </w:rPr>
        <w:t> Artículos </w:t>
      </w:r>
      <w:hyperlink r:id="rId4" w:tooltip="Estatuto Tributario CETA" w:history="1">
        <w:r w:rsidRPr="00E93EE0">
          <w:rPr>
            <w:rFonts w:eastAsia="Times New Roman" w:cs="Times New Roman"/>
            <w:szCs w:val="24"/>
            <w:lang w:eastAsia="es-CO"/>
          </w:rPr>
          <w:t>206</w:t>
        </w:r>
      </w:hyperlink>
      <w:r w:rsidRPr="00E93EE0">
        <w:rPr>
          <w:rFonts w:eastAsia="Times New Roman" w:cs="Times New Roman"/>
          <w:szCs w:val="24"/>
          <w:lang w:eastAsia="es-CO"/>
        </w:rPr>
        <w:t>, </w:t>
      </w:r>
      <w:hyperlink r:id="rId5" w:tooltip="Estatuto Tributario CETA" w:history="1">
        <w:r w:rsidRPr="00E93EE0">
          <w:rPr>
            <w:rFonts w:eastAsia="Times New Roman" w:cs="Times New Roman"/>
            <w:szCs w:val="24"/>
            <w:lang w:eastAsia="es-CO"/>
          </w:rPr>
          <w:t>294-2</w:t>
        </w:r>
      </w:hyperlink>
      <w:r w:rsidRPr="00E93EE0">
        <w:rPr>
          <w:rFonts w:eastAsia="Times New Roman" w:cs="Times New Roman"/>
          <w:szCs w:val="24"/>
          <w:lang w:eastAsia="es-CO"/>
        </w:rPr>
        <w:t>, </w:t>
      </w:r>
      <w:hyperlink r:id="rId6" w:tooltip="Estatuto Tributario CETA" w:history="1">
        <w:r w:rsidRPr="00E93EE0">
          <w:rPr>
            <w:rFonts w:eastAsia="Times New Roman" w:cs="Times New Roman"/>
            <w:szCs w:val="24"/>
            <w:lang w:eastAsia="es-CO"/>
          </w:rPr>
          <w:t>298-7</w:t>
        </w:r>
      </w:hyperlink>
      <w:r w:rsidRPr="00E93EE0">
        <w:rPr>
          <w:rFonts w:eastAsia="Times New Roman" w:cs="Times New Roman"/>
          <w:szCs w:val="24"/>
          <w:lang w:eastAsia="es-CO"/>
        </w:rPr>
        <w:t> y </w:t>
      </w:r>
      <w:hyperlink r:id="rId7" w:tooltip="Estatuto Tributario CETA" w:history="1">
        <w:r w:rsidRPr="00E93EE0">
          <w:rPr>
            <w:rFonts w:eastAsia="Times New Roman" w:cs="Times New Roman"/>
            <w:szCs w:val="24"/>
            <w:lang w:eastAsia="es-CO"/>
          </w:rPr>
          <w:t>820</w:t>
        </w:r>
      </w:hyperlink>
      <w:r w:rsidRPr="00E93EE0">
        <w:rPr>
          <w:rFonts w:eastAsia="Times New Roman" w:cs="Times New Roman"/>
          <w:szCs w:val="24"/>
          <w:lang w:eastAsia="es-CO"/>
        </w:rPr>
        <w:t> del Estatuto Tributario, 35, 56 y 57 de la Ley 1739 de 2014, Oficio número 005463 del 23 de febrero de 2015.</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Atento saludo señor Pardo Alonso.</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De conformidad con el artículo 20 del Decreto número 4048 de 2008 es función de esta Subdirección absolver las consultas escritas que se formulen sobre la interpretación y aplicación de las normas tributarias de carácter nacional, aduaneras y cambiarias en lo de competencia de la Entidad.</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Mediante el radicado de la referencia se formulan las siguientes preguntas en torno a la Ley 1739 de 2014 las cuales se resolverán cada una a su turno, así:</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b/>
          <w:szCs w:val="24"/>
          <w:lang w:eastAsia="es-CO"/>
        </w:rPr>
      </w:pPr>
      <w:r w:rsidRPr="00E93EE0">
        <w:rPr>
          <w:rFonts w:eastAsia="Times New Roman" w:cs="Times New Roman"/>
          <w:b/>
          <w:szCs w:val="24"/>
          <w:lang w:eastAsia="es-CO"/>
        </w:rPr>
        <w:t>1. En relación con el impuesto a la riqueza</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1.1. Si a 1° de enero de 2015 se poseía un patrimonio líquido igual o superior a $1.000 millones de pesos pero en los años gravables siguientes este es inferior a $1.000 millones de pesos ¿Se es contribuyente del impuesto a la riqueza por los años 2016 y 2017 en tratándose de una persona jurídica o sociedad de hecho y por los años 2016, 2017 y 2018 en el caso de una persona natural o sucesión ilíquida?</w:t>
      </w:r>
    </w:p>
    <w:p w:rsidR="00E93EE0" w:rsidRDefault="00E93EE0" w:rsidP="00E93EE0">
      <w:pPr>
        <w:spacing w:after="0" w:line="240" w:lineRule="auto"/>
        <w:jc w:val="both"/>
        <w:rPr>
          <w:rFonts w:eastAsia="Times New Roman" w:cs="Times New Roman"/>
          <w:szCs w:val="24"/>
          <w:lang w:eastAsia="es-CO"/>
        </w:rPr>
      </w:pP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1.2. Si a 1° de enero de 2015 se poseía un patrimonio líquido inferior a $1.000 millones de pesos pero en los años gravables siguientes este es igual o superior a $1.000 millones de pesos ¿Se es contribuyente del impuesto a la riqueza por los años 2016 y 2017 en tratándose de una persona jurídica o sociedad de hecho y por los años 2016, 2017 y 2018 en el caso de una persona natural o sucesión ilíquida?</w:t>
      </w:r>
    </w:p>
    <w:p w:rsidR="00E93EE0" w:rsidRDefault="00E93EE0" w:rsidP="00E93EE0">
      <w:pPr>
        <w:spacing w:after="0" w:line="240" w:lineRule="auto"/>
        <w:jc w:val="both"/>
        <w:rPr>
          <w:rFonts w:eastAsia="Times New Roman" w:cs="Times New Roman"/>
          <w:szCs w:val="24"/>
          <w:lang w:eastAsia="es-CO"/>
        </w:rPr>
      </w:pP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1.3. Si a 1° de enero de 2015 la persona jurídica no existía pero después de la citada fecha esta nace a la vida jurídica con un patrimonio líquido igual o superior a $1.000 millones de pesos ¿Es contribuyente del impuesto a la riqueza por los años 2016 y 2017?</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Sobre el particular, es preciso entender que el hecho generador del impuesto a la riqueza se circunscribe a una específica situación fáctica en un tiempo determinado como se desprende del </w:t>
      </w:r>
      <w:hyperlink r:id="rId8" w:tooltip="Estatuto Tributario CETA" w:history="1">
        <w:r w:rsidRPr="00E93EE0">
          <w:rPr>
            <w:rFonts w:eastAsia="Times New Roman" w:cs="Times New Roman"/>
            <w:szCs w:val="24"/>
            <w:lang w:eastAsia="es-CO"/>
          </w:rPr>
          <w:t>artículo 294-2</w:t>
        </w:r>
      </w:hyperlink>
      <w:r w:rsidRPr="00E93EE0">
        <w:rPr>
          <w:rFonts w:eastAsia="Times New Roman" w:cs="Times New Roman"/>
          <w:szCs w:val="24"/>
          <w:lang w:eastAsia="es-CO"/>
        </w:rPr>
        <w:t xml:space="preserve"> del Estatuto Tributario, esto es, poseer al 1° de enero de 2015 una riqueza </w:t>
      </w:r>
      <w:r w:rsidRPr="00E93EE0">
        <w:rPr>
          <w:rFonts w:eastAsia="Times New Roman" w:cs="Times New Roman"/>
          <w:szCs w:val="24"/>
          <w:lang w:eastAsia="es-CO"/>
        </w:rPr>
        <w:lastRenderedPageBreak/>
        <w:t>– </w:t>
      </w:r>
      <w:r w:rsidRPr="00E93EE0">
        <w:rPr>
          <w:rFonts w:eastAsia="Times New Roman" w:cs="Times New Roman"/>
          <w:i/>
          <w:iCs/>
          <w:szCs w:val="24"/>
          <w:lang w:eastAsia="es-CO"/>
        </w:rPr>
        <w:t>“total del patrimonio bruto del contribuyente poseído en la misma fecha menos las deudas a cargo del contribuyente vigentes en esa fecha”- </w:t>
      </w:r>
      <w:r w:rsidRPr="00E93EE0">
        <w:rPr>
          <w:rFonts w:eastAsia="Times New Roman" w:cs="Times New Roman"/>
          <w:szCs w:val="24"/>
          <w:lang w:eastAsia="es-CO"/>
        </w:rPr>
        <w:t>cuyo valor sea igual o superior a $1.000 millones de pesos.</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Así las cosas, si la persona natural, sucesión ilíquida, persona jurídica o sociedad de hecho, contribuyente del impuesto sobre la renta y complementarios, en la fecha señalada no poseía un patrimonio líquido en la cuantía indicada – o no existía, lo cual hace la conclusión aún más evidente – no es contribuyente del impuesto a la riqueza en el año 2015 ni lo será en los años gravables siguientes. Todo lo contrario ocurre si los sujetos a que se ha hecho referencia poseían a 1° de enero de 2015 una riqueza igual o superior a $1.000 millones de pesos, pues, aun cuando dicho monto disminuya posteriormente, continuarán siendo contribuyentes del tributo toda vez que este ya se generó.</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b/>
          <w:szCs w:val="24"/>
          <w:lang w:eastAsia="es-CO"/>
        </w:rPr>
      </w:pPr>
      <w:r w:rsidRPr="00E93EE0">
        <w:rPr>
          <w:rFonts w:eastAsia="Times New Roman" w:cs="Times New Roman"/>
          <w:b/>
          <w:szCs w:val="24"/>
          <w:lang w:eastAsia="es-CO"/>
        </w:rPr>
        <w:t>2. ¿Las personas naturales clasificadas en la categoría de empleados, cuyos pagos o abonos en cuenta no provengan de una relación laboral, o legal y reglamentaria, pueden tomar como costo o gasto deducible las erogaciones directamente relacionadas con su actividad económica, aun cuando difieran de los permitidos a los trabajadores asalariados?</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En relación con la consulta de la referencia, mediante la cual pregunta si en virtud de lo consagrado en el parágrafo 4° del artículo 26 de la Ley 1739 que adicionó el numeral 10 del </w:t>
      </w:r>
      <w:hyperlink r:id="rId9" w:tooltip="Estatuto Tributario CETA" w:history="1">
        <w:r w:rsidRPr="00E93EE0">
          <w:rPr>
            <w:rFonts w:eastAsia="Times New Roman" w:cs="Times New Roman"/>
            <w:szCs w:val="24"/>
            <w:lang w:eastAsia="es-CO"/>
          </w:rPr>
          <w:t>artículo 206</w:t>
        </w:r>
      </w:hyperlink>
      <w:r w:rsidRPr="00E93EE0">
        <w:rPr>
          <w:rFonts w:eastAsia="Times New Roman" w:cs="Times New Roman"/>
          <w:szCs w:val="24"/>
          <w:lang w:eastAsia="es-CO"/>
        </w:rPr>
        <w:t> del Estatuto Tributario, los profesionales independientes clasificados en la categoría tributaria de empleados, pueden tomar los costos y deducciones que sean procedente; atentamente le informamos que mediante Auto de la Corte Constitucional, de fecha abril 21 de 2015, Referencia Expediente D-10678, Magistrado Sustanciador: Gabriel Eduardo Mendoza Melo, la Corporación admitió la demanda de Inconstitucionalidad contra al parágrafo 4° (parcial) del </w:t>
      </w:r>
      <w:hyperlink r:id="rId10" w:tooltip="Estatuto Tributario CETA" w:history="1">
        <w:r w:rsidRPr="00E93EE0">
          <w:rPr>
            <w:rFonts w:eastAsia="Times New Roman" w:cs="Times New Roman"/>
            <w:szCs w:val="24"/>
            <w:lang w:eastAsia="es-CO"/>
          </w:rPr>
          <w:t>artículo 206</w:t>
        </w:r>
      </w:hyperlink>
      <w:r w:rsidRPr="00E93EE0">
        <w:rPr>
          <w:rFonts w:eastAsia="Times New Roman" w:cs="Times New Roman"/>
          <w:szCs w:val="24"/>
          <w:lang w:eastAsia="es-CO"/>
        </w:rPr>
        <w:t> del Estatuto Tributario, tal como fue modificado por el artículo 26 de la Ley 1739 de 2014.</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En este contexto, considera este Despacho que antes de emitir una interpretación sobre la disposición, habrá que estarse al resultado del proceso de revisión Constitucional y más aún si se considera que como la norma demandada tiene una incidencia de período al ser sustancial en el impuesto sobre la renta, según lo dispuesto en el artículo 338 de la Constitución Política “... Las leyes, ordenanzas o acuerdos que regulen contribuciones en las que la base sea el resultado de hechos ocurridos durante un período determinado, no pueden aplicarse sino a partir del período que comience después de iniciar la vigencia de la respectiva ley, ordenanza o acuerdo”, aplica a partir del año gravable 2015, período respecto del cual deberá presentarse la declaración del impuesto sobre la renta en el 2016.</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3. ¿Para ser contribuyente del impuesto complementario de normalización tributaria es indispensable también serlo del impuesto a la riqueza?</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El artículo 35 de la Ley 1739 de 2014 dispone que el impuesto complementario de normalización tributaria </w:t>
      </w:r>
      <w:r w:rsidRPr="00E93EE0">
        <w:rPr>
          <w:rFonts w:eastAsia="Times New Roman" w:cs="Times New Roman"/>
          <w:i/>
          <w:iCs/>
          <w:szCs w:val="24"/>
          <w:lang w:eastAsia="es-CO"/>
        </w:rPr>
        <w:t>“estará a cargo de los contribuyentes del Impuesto a la Riqueza y los declarantes voluntarios de dicho impuesto a los que se refiere el </w:t>
      </w:r>
      <w:hyperlink r:id="rId11" w:tooltip="Estatuto Tributario CETA" w:history="1">
        <w:r w:rsidRPr="00E93EE0">
          <w:rPr>
            <w:rFonts w:eastAsia="Times New Roman" w:cs="Times New Roman"/>
            <w:i/>
            <w:iCs/>
            <w:szCs w:val="24"/>
            <w:lang w:eastAsia="es-CO"/>
          </w:rPr>
          <w:t>artículo 298-7</w:t>
        </w:r>
      </w:hyperlink>
      <w:r w:rsidRPr="00E93EE0">
        <w:rPr>
          <w:rFonts w:eastAsia="Times New Roman" w:cs="Times New Roman"/>
          <w:i/>
          <w:iCs/>
          <w:szCs w:val="24"/>
          <w:lang w:eastAsia="es-CO"/>
        </w:rPr>
        <w:t> del Estatuto Tributario que tengan activos omitidos”.</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A su vez, el </w:t>
      </w:r>
      <w:hyperlink r:id="rId12" w:tooltip="Estatuto Tributario CETA" w:history="1">
        <w:r w:rsidRPr="00E93EE0">
          <w:rPr>
            <w:rFonts w:eastAsia="Times New Roman" w:cs="Times New Roman"/>
            <w:szCs w:val="24"/>
            <w:lang w:eastAsia="es-CO"/>
          </w:rPr>
          <w:t>artículo 298-7</w:t>
        </w:r>
      </w:hyperlink>
      <w:r w:rsidRPr="00E93EE0">
        <w:rPr>
          <w:rFonts w:eastAsia="Times New Roman" w:cs="Times New Roman"/>
          <w:szCs w:val="24"/>
          <w:lang w:eastAsia="es-CO"/>
        </w:rPr>
        <w:t> del Estatuto Tributario establece que </w:t>
      </w:r>
      <w:r>
        <w:rPr>
          <w:rFonts w:eastAsia="Times New Roman" w:cs="Times New Roman"/>
          <w:i/>
          <w:iCs/>
          <w:szCs w:val="24"/>
          <w:lang w:eastAsia="es-CO"/>
        </w:rPr>
        <w:t>“</w:t>
      </w:r>
      <w:bookmarkStart w:id="0" w:name="_GoBack"/>
      <w:bookmarkEnd w:id="0"/>
      <w:r>
        <w:rPr>
          <w:rFonts w:eastAsia="Times New Roman" w:cs="Times New Roman"/>
          <w:i/>
          <w:iCs/>
          <w:szCs w:val="24"/>
          <w:lang w:eastAsia="es-CO"/>
        </w:rPr>
        <w:t>q</w:t>
      </w:r>
      <w:r w:rsidRPr="00E93EE0">
        <w:rPr>
          <w:rFonts w:eastAsia="Times New Roman" w:cs="Times New Roman"/>
          <w:i/>
          <w:iCs/>
          <w:szCs w:val="24"/>
          <w:lang w:eastAsia="es-CO"/>
        </w:rPr>
        <w:t>uienes no estén obligados a declarar el Impuesto a la Riqueza de que trata el</w:t>
      </w:r>
      <w:r>
        <w:rPr>
          <w:rFonts w:eastAsia="Times New Roman" w:cs="Times New Roman"/>
          <w:i/>
          <w:iCs/>
          <w:szCs w:val="24"/>
          <w:lang w:eastAsia="es-CO"/>
        </w:rPr>
        <w:t xml:space="preserve"> </w:t>
      </w:r>
      <w:hyperlink r:id="rId13" w:tooltip="Estatuto Tributario CETA" w:history="1">
        <w:r w:rsidRPr="00E93EE0">
          <w:rPr>
            <w:rFonts w:eastAsia="Times New Roman" w:cs="Times New Roman"/>
            <w:i/>
            <w:iCs/>
            <w:szCs w:val="24"/>
            <w:lang w:eastAsia="es-CO"/>
          </w:rPr>
          <w:t>artículo 292-2</w:t>
        </w:r>
      </w:hyperlink>
      <w:r w:rsidRPr="00E93EE0">
        <w:rPr>
          <w:rFonts w:eastAsia="Times New Roman" w:cs="Times New Roman"/>
          <w:i/>
          <w:iCs/>
          <w:szCs w:val="24"/>
          <w:lang w:eastAsia="es-CO"/>
        </w:rPr>
        <w:t> de este Estatuto podrán, libre y espontáneamente, liquidar y pagar el Impuesto a la Riqueza”</w:t>
      </w:r>
      <w:r w:rsidRPr="00E93EE0">
        <w:rPr>
          <w:rFonts w:eastAsia="Times New Roman" w:cs="Times New Roman"/>
          <w:szCs w:val="24"/>
          <w:lang w:eastAsia="es-CO"/>
        </w:rPr>
        <w:t>.</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De lo antepuesto es dable colegir entonces que es indispensable ser contribuyente del impuesto a la riqueza para también serlo del impuesto complementario de normalización tributaria, ya sea de manera obligatoria o voluntaria.</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lastRenderedPageBreak/>
        <w:t>4. Contribuyentes que se acogieron a condiciones especiales de pago establecidas en leyes anteriores a la Ley 1739 de 2014 y que efectuaron en su momento un pago incompleto ¿Deben efectuar el pago a título del impuesto, tasa o contribución dejado de cancelar junto con las sanciones, intereses o actualización liquidados acorde con el correspondiente beneficio?</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El parágrafo transitorio del </w:t>
      </w:r>
      <w:hyperlink r:id="rId14" w:tooltip="Estatuto Tributario CETA" w:history="1">
        <w:r w:rsidRPr="00E93EE0">
          <w:rPr>
            <w:rFonts w:eastAsia="Times New Roman" w:cs="Times New Roman"/>
            <w:szCs w:val="24"/>
            <w:lang w:eastAsia="es-CO"/>
          </w:rPr>
          <w:t>artículo 820</w:t>
        </w:r>
      </w:hyperlink>
      <w:r w:rsidRPr="00E93EE0">
        <w:rPr>
          <w:rFonts w:eastAsia="Times New Roman" w:cs="Times New Roman"/>
          <w:szCs w:val="24"/>
          <w:lang w:eastAsia="es-CO"/>
        </w:rPr>
        <w:t> del Estatuto Tributario, modificado por el artículo 54 de la Ley 1739 de 2014, prescribe:</w:t>
      </w:r>
    </w:p>
    <w:p w:rsidR="00E93EE0" w:rsidRPr="00E93EE0" w:rsidRDefault="00E93EE0" w:rsidP="00E93EE0">
      <w:pPr>
        <w:spacing w:after="0" w:line="240" w:lineRule="auto"/>
        <w:ind w:left="284"/>
        <w:jc w:val="both"/>
        <w:rPr>
          <w:rFonts w:eastAsia="Times New Roman" w:cs="Times New Roman"/>
          <w:szCs w:val="24"/>
          <w:lang w:eastAsia="es-CO"/>
        </w:rPr>
      </w:pPr>
      <w:r w:rsidRPr="00E93EE0">
        <w:rPr>
          <w:rFonts w:eastAsia="Times New Roman" w:cs="Times New Roman"/>
          <w:i/>
          <w:iCs/>
          <w:szCs w:val="24"/>
          <w:lang w:eastAsia="es-CO"/>
        </w:rPr>
        <w:t> </w:t>
      </w:r>
    </w:p>
    <w:p w:rsidR="00E93EE0" w:rsidRPr="00E93EE0" w:rsidRDefault="00E93EE0" w:rsidP="00E93EE0">
      <w:pPr>
        <w:spacing w:after="0" w:line="240" w:lineRule="auto"/>
        <w:ind w:left="284"/>
        <w:jc w:val="both"/>
        <w:rPr>
          <w:rFonts w:eastAsia="Times New Roman" w:cs="Times New Roman"/>
          <w:szCs w:val="24"/>
          <w:lang w:eastAsia="es-CO"/>
        </w:rPr>
      </w:pPr>
      <w:r w:rsidRPr="00E93EE0">
        <w:rPr>
          <w:rFonts w:eastAsia="Times New Roman" w:cs="Times New Roman"/>
          <w:b/>
          <w:bCs/>
          <w:i/>
          <w:iCs/>
          <w:szCs w:val="24"/>
          <w:lang w:eastAsia="es-CO"/>
        </w:rPr>
        <w:t>“Parágrafo Transitorio. </w:t>
      </w:r>
      <w:r w:rsidRPr="00E93EE0">
        <w:rPr>
          <w:rFonts w:eastAsia="Times New Roman" w:cs="Times New Roman"/>
          <w:i/>
          <w:iCs/>
          <w:szCs w:val="24"/>
          <w:lang w:eastAsia="es-CO"/>
        </w:rPr>
        <w:t>Los contribuyentes que se acogieron a las normas que establecieron condiciones especiales de pago de impuestos, tasas y contribuciones establecidas en leyes anteriores y </w:t>
      </w:r>
      <w:r w:rsidRPr="00E93EE0">
        <w:rPr>
          <w:rFonts w:eastAsia="Times New Roman" w:cs="Times New Roman"/>
          <w:b/>
          <w:bCs/>
          <w:i/>
          <w:iCs/>
          <w:szCs w:val="24"/>
          <w:lang w:eastAsia="es-CO"/>
        </w:rPr>
        <w:t>tienen en sus cuentas saldos a pagar hasta de 1 UVT por cada obligación que fue objeto de la condición de pago respectiva, no perderán el beneficio y sus saldos serán suprimidos </w:t>
      </w:r>
      <w:r w:rsidRPr="00E93EE0">
        <w:rPr>
          <w:rFonts w:eastAsia="Times New Roman" w:cs="Times New Roman"/>
          <w:i/>
          <w:iCs/>
          <w:szCs w:val="24"/>
          <w:lang w:eastAsia="es-CO"/>
        </w:rPr>
        <w:t>por la Dirección Seccional de Impuestos sin requisito alguno; en el caso de los contribuyentes </w:t>
      </w:r>
      <w:r w:rsidRPr="00E93EE0">
        <w:rPr>
          <w:rFonts w:eastAsia="Times New Roman" w:cs="Times New Roman"/>
          <w:b/>
          <w:bCs/>
          <w:i/>
          <w:iCs/>
          <w:szCs w:val="24"/>
          <w:lang w:eastAsia="es-CO"/>
        </w:rPr>
        <w:t>cuyos saldos asciendan a más de una (1) UVT por cada obligación, no perderán el beneficio consagrado en la condición especial respectiva si pagan el mismo dentro de los dos (2) meses siguientes a la entrada en vigencia de esta norma</w:t>
      </w:r>
      <w:r w:rsidRPr="00E93EE0">
        <w:rPr>
          <w:rFonts w:eastAsia="Times New Roman" w:cs="Times New Roman"/>
          <w:i/>
          <w:iCs/>
          <w:szCs w:val="24"/>
          <w:lang w:eastAsia="es-CO"/>
        </w:rPr>
        <w:t>” </w:t>
      </w:r>
      <w:r w:rsidRPr="00E93EE0">
        <w:rPr>
          <w:rFonts w:eastAsia="Times New Roman" w:cs="Times New Roman"/>
          <w:szCs w:val="24"/>
          <w:lang w:eastAsia="es-CO"/>
        </w:rPr>
        <w:t>(negrilla fuera de texto).</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Los contribuyentes que optaron por condiciones especiales de pago en leyes anteriores, debieron proceder al pago del impuesto, tasa o contribución dejado de cancelar conforme las condiciones que se establecieron para los beneficios antecedentes en cada una de las leyes que los otorgaron, de tal suerte que si se trataba de un saldo que no superara una (1) UVT, el valor a cancelar se debía entender referido al vigente al momento de la condición de pago sin actualización alguna.</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5. ¿El beneficio de que trata el parágrafo 4° del artículo 56 de la Ley 1739 de 2014 fue modificado o derogado por el artículo 57 </w:t>
      </w:r>
      <w:r w:rsidRPr="00E93EE0">
        <w:rPr>
          <w:rFonts w:eastAsia="Times New Roman" w:cs="Times New Roman"/>
          <w:i/>
          <w:iCs/>
          <w:szCs w:val="24"/>
          <w:lang w:eastAsia="es-CO"/>
        </w:rPr>
        <w:t>ibídem </w:t>
      </w:r>
      <w:r w:rsidRPr="00E93EE0">
        <w:rPr>
          <w:rFonts w:eastAsia="Times New Roman" w:cs="Times New Roman"/>
          <w:szCs w:val="24"/>
          <w:lang w:eastAsia="es-CO"/>
        </w:rPr>
        <w:t>al ser norma posterior?</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El parágrafo 4° del artículo 56 de la Ley 1739 de 2014 no fue modificado ni derogado tácitamente por el artículo 57 </w:t>
      </w:r>
      <w:r w:rsidRPr="00E93EE0">
        <w:rPr>
          <w:rFonts w:eastAsia="Times New Roman" w:cs="Times New Roman"/>
          <w:i/>
          <w:iCs/>
          <w:szCs w:val="24"/>
          <w:lang w:eastAsia="es-CO"/>
        </w:rPr>
        <w:t>ibídem</w:t>
      </w:r>
      <w:r w:rsidRPr="00E93EE0">
        <w:rPr>
          <w:rFonts w:eastAsia="Times New Roman" w:cs="Times New Roman"/>
          <w:szCs w:val="24"/>
          <w:lang w:eastAsia="es-CO"/>
        </w:rPr>
        <w:t>; los beneficios consagrados en ambas disposiciones son independientes entre sí, armónicos y, por tanto, no excluyentes, correspondiendo al contribuyente optar por aquel que más le convenga.</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6. ¿Gozan del beneficio comprendido en el artículo 56 parágrafo 4° de la Ley 1739 de 2014 las declaraciones cuyo plazo para ser presentadas no ha vencido al 27 de febrero de 2015?</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Mediante Oficio número 005463 del 23 de febrero de 2015 esta Subdirección resolvió una pregunta en similar sentido, así:</w:t>
      </w:r>
    </w:p>
    <w:p w:rsidR="00E93EE0" w:rsidRPr="00E93EE0" w:rsidRDefault="00E93EE0" w:rsidP="00E93EE0">
      <w:pPr>
        <w:spacing w:after="0" w:line="240" w:lineRule="auto"/>
        <w:ind w:left="284"/>
        <w:jc w:val="both"/>
        <w:rPr>
          <w:rFonts w:eastAsia="Times New Roman" w:cs="Times New Roman"/>
          <w:szCs w:val="24"/>
          <w:lang w:eastAsia="es-CO"/>
        </w:rPr>
      </w:pPr>
      <w:r w:rsidRPr="00E93EE0">
        <w:rPr>
          <w:rFonts w:eastAsia="Times New Roman" w:cs="Times New Roman"/>
          <w:i/>
          <w:iCs/>
          <w:szCs w:val="24"/>
          <w:lang w:eastAsia="es-CO"/>
        </w:rPr>
        <w:t> </w:t>
      </w:r>
    </w:p>
    <w:p w:rsidR="00E93EE0" w:rsidRPr="00E93EE0" w:rsidRDefault="00E93EE0" w:rsidP="00E93EE0">
      <w:pPr>
        <w:spacing w:after="0" w:line="240" w:lineRule="auto"/>
        <w:ind w:left="284"/>
        <w:jc w:val="both"/>
        <w:rPr>
          <w:rFonts w:eastAsia="Times New Roman" w:cs="Times New Roman"/>
          <w:szCs w:val="24"/>
          <w:lang w:eastAsia="es-CO"/>
        </w:rPr>
      </w:pPr>
      <w:r w:rsidRPr="00E93EE0">
        <w:rPr>
          <w:rFonts w:eastAsia="Times New Roman" w:cs="Times New Roman"/>
          <w:i/>
          <w:iCs/>
          <w:szCs w:val="24"/>
          <w:lang w:eastAsia="es-CO"/>
        </w:rPr>
        <w:t>“‘Teniendo en cuenta que los vencimientos del impuesto a las ventas, retenciones y CREE del último período del año gravable 2014 son en enero del año 2015, es decir posterior a la publicación de la Ley 1739 de 2014, ¿para estos períodos aplica el beneficio establecido en el parágrafo 4º del artículo 56 de la Ley 1739 de 2014?’.</w:t>
      </w:r>
    </w:p>
    <w:p w:rsidR="00E93EE0" w:rsidRPr="00E93EE0" w:rsidRDefault="00E93EE0" w:rsidP="00E93EE0">
      <w:pPr>
        <w:spacing w:after="0" w:line="240" w:lineRule="auto"/>
        <w:ind w:left="284"/>
        <w:jc w:val="both"/>
        <w:rPr>
          <w:rFonts w:eastAsia="Times New Roman" w:cs="Times New Roman"/>
          <w:szCs w:val="24"/>
          <w:lang w:eastAsia="es-CO"/>
        </w:rPr>
      </w:pPr>
      <w:r w:rsidRPr="00E93EE0">
        <w:rPr>
          <w:rFonts w:eastAsia="Times New Roman" w:cs="Times New Roman"/>
          <w:i/>
          <w:iCs/>
          <w:szCs w:val="24"/>
          <w:lang w:eastAsia="es-CO"/>
        </w:rPr>
        <w:t> </w:t>
      </w:r>
    </w:p>
    <w:p w:rsidR="00E93EE0" w:rsidRPr="00E93EE0" w:rsidRDefault="00E93EE0" w:rsidP="00E93EE0">
      <w:pPr>
        <w:spacing w:after="0" w:line="240" w:lineRule="auto"/>
        <w:ind w:left="284"/>
        <w:jc w:val="both"/>
        <w:rPr>
          <w:rFonts w:eastAsia="Times New Roman" w:cs="Times New Roman"/>
          <w:szCs w:val="24"/>
          <w:lang w:eastAsia="es-CO"/>
        </w:rPr>
      </w:pPr>
      <w:r w:rsidRPr="00E93EE0">
        <w:rPr>
          <w:rFonts w:eastAsia="Times New Roman" w:cs="Times New Roman"/>
          <w:i/>
          <w:iCs/>
          <w:szCs w:val="24"/>
          <w:lang w:eastAsia="es-CO"/>
        </w:rPr>
        <w:t>En relación con su pregunta, la condición especial de pago que se encuentra consagrada en el parágrafo 4° del artículo 56 de la Ley 1739 de 2014,</w:t>
      </w:r>
      <w:r>
        <w:rPr>
          <w:rFonts w:eastAsia="Times New Roman" w:cs="Times New Roman"/>
          <w:i/>
          <w:iCs/>
          <w:szCs w:val="24"/>
          <w:lang w:eastAsia="es-CO"/>
        </w:rPr>
        <w:t xml:space="preserve"> </w:t>
      </w:r>
      <w:r w:rsidRPr="00E93EE0">
        <w:rPr>
          <w:rFonts w:eastAsia="Times New Roman" w:cs="Times New Roman"/>
          <w:b/>
          <w:bCs/>
          <w:i/>
          <w:iCs/>
          <w:szCs w:val="24"/>
          <w:lang w:eastAsia="es-CO"/>
        </w:rPr>
        <w:t>no aplica para los casos por usted enunciados</w:t>
      </w:r>
      <w:r w:rsidRPr="00E93EE0">
        <w:rPr>
          <w:rFonts w:eastAsia="Times New Roman" w:cs="Times New Roman"/>
          <w:i/>
          <w:iCs/>
          <w:szCs w:val="24"/>
          <w:lang w:eastAsia="es-CO"/>
        </w:rPr>
        <w:t>, lo anterior encuentra su fundamento en que </w:t>
      </w:r>
      <w:r w:rsidRPr="00E93EE0">
        <w:rPr>
          <w:rFonts w:eastAsia="Times New Roman" w:cs="Times New Roman"/>
          <w:b/>
          <w:bCs/>
          <w:i/>
          <w:iCs/>
          <w:szCs w:val="24"/>
          <w:lang w:eastAsia="es-CO"/>
        </w:rPr>
        <w:t>la norma busca sanear aquellas irregularidades que ocurrieron antes de la entrada en vigencia de la misma</w:t>
      </w:r>
      <w:r w:rsidRPr="00E93EE0">
        <w:rPr>
          <w:rFonts w:eastAsia="Times New Roman" w:cs="Times New Roman"/>
          <w:i/>
          <w:iCs/>
          <w:szCs w:val="24"/>
          <w:lang w:eastAsia="es-CO"/>
        </w:rPr>
        <w:t>, siendo imposible su aplicación para aquellos hechos que en el momento de su entrada en vigencia no se encontraba incumplidos” </w:t>
      </w:r>
      <w:r w:rsidRPr="00E93EE0">
        <w:rPr>
          <w:rFonts w:eastAsia="Times New Roman" w:cs="Times New Roman"/>
          <w:szCs w:val="24"/>
          <w:lang w:eastAsia="es-CO"/>
        </w:rPr>
        <w:t>(negrilla fuera de texto).</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xml:space="preserve">7. ¿Gozan del beneficio incluido en el artículo 57 parágrafo 3° de la Ley 1739 de 2014 las declaraciones de retención en la fuente que se presentaron extemporáneamente y las que se </w:t>
      </w:r>
      <w:r w:rsidRPr="00E93EE0">
        <w:rPr>
          <w:rFonts w:eastAsia="Times New Roman" w:cs="Times New Roman"/>
          <w:szCs w:val="24"/>
          <w:lang w:eastAsia="es-CO"/>
        </w:rPr>
        <w:lastRenderedPageBreak/>
        <w:t>presenten por primera vez con posterioridad a la entrada en vigencia de la citada reforma tributaria?</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Antes de brindar la solución, es propicio advertir dos circunstancias:</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En primer orden, en cuanto a los vencimientos de los plazos para presentar las declaraciones de retención en la fuente:</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El artículo 33 del Decreto número 2972 de 2013 señala que </w:t>
      </w:r>
      <w:r w:rsidRPr="00E93EE0">
        <w:rPr>
          <w:rFonts w:eastAsia="Times New Roman" w:cs="Times New Roman"/>
          <w:i/>
          <w:iCs/>
          <w:szCs w:val="24"/>
          <w:lang w:eastAsia="es-CO"/>
        </w:rPr>
        <w:t>“[l]os plazos para presentar las declaraciones de retención en la fuente correspondientes a los meses del año 2014 y cancelar el valor respectivo, vencen en las fechas del mismo año (…) </w:t>
      </w:r>
      <w:r w:rsidRPr="00E93EE0">
        <w:rPr>
          <w:rFonts w:eastAsia="Times New Roman" w:cs="Times New Roman"/>
          <w:b/>
          <w:bCs/>
          <w:i/>
          <w:iCs/>
          <w:szCs w:val="24"/>
          <w:lang w:eastAsia="es-CO"/>
        </w:rPr>
        <w:t>excepto la referida al mes de diciembre que vence en el año 2015</w:t>
      </w:r>
      <w:r w:rsidRPr="00E93EE0">
        <w:rPr>
          <w:rFonts w:eastAsia="Times New Roman" w:cs="Times New Roman"/>
          <w:i/>
          <w:iCs/>
          <w:szCs w:val="24"/>
          <w:lang w:eastAsia="es-CO"/>
        </w:rPr>
        <w:t>” </w:t>
      </w:r>
      <w:r w:rsidRPr="00E93EE0">
        <w:rPr>
          <w:rFonts w:eastAsia="Times New Roman" w:cs="Times New Roman"/>
          <w:szCs w:val="24"/>
          <w:lang w:eastAsia="es-CO"/>
        </w:rPr>
        <w:t>(negrilla fuera de texto); idéntica situación acontece con la declaración de retención del impuesto sobre las ventas conforme el artículo 34 siguiente.</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Por su parte, el artículo 35 </w:t>
      </w:r>
      <w:r w:rsidRPr="00E93EE0">
        <w:rPr>
          <w:rFonts w:eastAsia="Times New Roman" w:cs="Times New Roman"/>
          <w:i/>
          <w:iCs/>
          <w:szCs w:val="24"/>
          <w:lang w:eastAsia="es-CO"/>
        </w:rPr>
        <w:t>ibídem </w:t>
      </w:r>
      <w:r w:rsidRPr="00E93EE0">
        <w:rPr>
          <w:rFonts w:eastAsia="Times New Roman" w:cs="Times New Roman"/>
          <w:szCs w:val="24"/>
          <w:lang w:eastAsia="es-CO"/>
        </w:rPr>
        <w:t>dispone que </w:t>
      </w:r>
      <w:r w:rsidRPr="00E93EE0">
        <w:rPr>
          <w:rFonts w:eastAsia="Times New Roman" w:cs="Times New Roman"/>
          <w:i/>
          <w:iCs/>
          <w:szCs w:val="24"/>
          <w:lang w:eastAsia="es-CO"/>
        </w:rPr>
        <w:t xml:space="preserve">“[l]os contribuyentes </w:t>
      </w:r>
      <w:proofErr w:type="spellStart"/>
      <w:r w:rsidRPr="00E93EE0">
        <w:rPr>
          <w:rFonts w:eastAsia="Times New Roman" w:cs="Times New Roman"/>
          <w:i/>
          <w:iCs/>
          <w:szCs w:val="24"/>
          <w:lang w:eastAsia="es-CO"/>
        </w:rPr>
        <w:t>autorretenedores</w:t>
      </w:r>
      <w:proofErr w:type="spellEnd"/>
      <w:r w:rsidRPr="00E93EE0">
        <w:rPr>
          <w:rFonts w:eastAsia="Times New Roman" w:cs="Times New Roman"/>
          <w:i/>
          <w:iCs/>
          <w:szCs w:val="24"/>
          <w:lang w:eastAsia="es-CO"/>
        </w:rPr>
        <w:t xml:space="preserve"> cuyos ingresos brutos a 31 diciembre de 2013 fueron iguales o superiores a 92.000 UVT ($2.469.372.000) deberán presentar la </w:t>
      </w:r>
      <w:r w:rsidRPr="00E93EE0">
        <w:rPr>
          <w:rFonts w:eastAsia="Times New Roman" w:cs="Times New Roman"/>
          <w:b/>
          <w:bCs/>
          <w:i/>
          <w:iCs/>
          <w:szCs w:val="24"/>
          <w:lang w:eastAsia="es-CO"/>
        </w:rPr>
        <w:t>declaración mensual de retención en la fuente a título de CREE</w:t>
      </w:r>
      <w:r w:rsidRPr="00E93EE0">
        <w:rPr>
          <w:rFonts w:eastAsia="Times New Roman" w:cs="Times New Roman"/>
          <w:i/>
          <w:iCs/>
          <w:szCs w:val="24"/>
          <w:lang w:eastAsia="es-CO"/>
        </w:rPr>
        <w:t>” </w:t>
      </w:r>
      <w:r w:rsidRPr="00E93EE0">
        <w:rPr>
          <w:rFonts w:eastAsia="Times New Roman" w:cs="Times New Roman"/>
          <w:szCs w:val="24"/>
          <w:lang w:eastAsia="es-CO"/>
        </w:rPr>
        <w:t>(negrilla fuera de texto), mientras que </w:t>
      </w:r>
      <w:r w:rsidRPr="00E93EE0">
        <w:rPr>
          <w:rFonts w:eastAsia="Times New Roman" w:cs="Times New Roman"/>
          <w:i/>
          <w:iCs/>
          <w:szCs w:val="24"/>
          <w:lang w:eastAsia="es-CO"/>
        </w:rPr>
        <w:t xml:space="preserve">“[l]os contribuyentes </w:t>
      </w:r>
      <w:proofErr w:type="spellStart"/>
      <w:r w:rsidRPr="00E93EE0">
        <w:rPr>
          <w:rFonts w:eastAsia="Times New Roman" w:cs="Times New Roman"/>
          <w:i/>
          <w:iCs/>
          <w:szCs w:val="24"/>
          <w:lang w:eastAsia="es-CO"/>
        </w:rPr>
        <w:t>autorretenedores</w:t>
      </w:r>
      <w:proofErr w:type="spellEnd"/>
      <w:r w:rsidRPr="00E93EE0">
        <w:rPr>
          <w:rFonts w:eastAsia="Times New Roman" w:cs="Times New Roman"/>
          <w:i/>
          <w:iCs/>
          <w:szCs w:val="24"/>
          <w:lang w:eastAsia="es-CO"/>
        </w:rPr>
        <w:t xml:space="preserve"> cuyos ingresos brutos a 31 diciembre de 2013 fueron inferiores a 92.000 UVT ($2.469.372.000) deberán presentar la </w:t>
      </w:r>
      <w:r w:rsidRPr="00E93EE0">
        <w:rPr>
          <w:rFonts w:eastAsia="Times New Roman" w:cs="Times New Roman"/>
          <w:b/>
          <w:bCs/>
          <w:i/>
          <w:iCs/>
          <w:szCs w:val="24"/>
          <w:lang w:eastAsia="es-CO"/>
        </w:rPr>
        <w:t>declaración de retención en la fuente a título de CREE cada cuatro meses</w:t>
      </w:r>
      <w:r w:rsidRPr="00E93EE0">
        <w:rPr>
          <w:rFonts w:eastAsia="Times New Roman" w:cs="Times New Roman"/>
          <w:i/>
          <w:iCs/>
          <w:szCs w:val="24"/>
          <w:lang w:eastAsia="es-CO"/>
        </w:rPr>
        <w:t>” </w:t>
      </w:r>
      <w:r w:rsidRPr="00E93EE0">
        <w:rPr>
          <w:rFonts w:eastAsia="Times New Roman" w:cs="Times New Roman"/>
          <w:szCs w:val="24"/>
          <w:lang w:eastAsia="es-CO"/>
        </w:rPr>
        <w:t>(negrilla fuera de texto). En este sentido, es de anotar que la declaración mensual de diciembre de 2014 y la cuatrimestral de septiembre-diciembre de 2014 vencen en enero de 2015.</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En segundo orden, referente a la ineficacia de la declaración de retención en la fuente, esta se materializa cuando aquella es presentada sin pago total – </w:t>
      </w:r>
      <w:hyperlink r:id="rId15" w:tooltip="Estatuto Tributario CETA" w:history="1">
        <w:r w:rsidRPr="00E93EE0">
          <w:rPr>
            <w:rFonts w:eastAsia="Times New Roman" w:cs="Times New Roman"/>
            <w:szCs w:val="24"/>
            <w:lang w:eastAsia="es-CO"/>
          </w:rPr>
          <w:t>artículo 580-1</w:t>
        </w:r>
      </w:hyperlink>
      <w:r w:rsidRPr="00E93EE0">
        <w:rPr>
          <w:rFonts w:eastAsia="Times New Roman" w:cs="Times New Roman"/>
          <w:szCs w:val="24"/>
          <w:lang w:eastAsia="es-CO"/>
        </w:rPr>
        <w:t xml:space="preserve"> del Estatuto Tributario – lo cual también se predica de la declaración de </w:t>
      </w:r>
      <w:proofErr w:type="spellStart"/>
      <w:r w:rsidRPr="00E93EE0">
        <w:rPr>
          <w:rFonts w:eastAsia="Times New Roman" w:cs="Times New Roman"/>
          <w:szCs w:val="24"/>
          <w:lang w:eastAsia="es-CO"/>
        </w:rPr>
        <w:t>autorretención</w:t>
      </w:r>
      <w:proofErr w:type="spellEnd"/>
      <w:r w:rsidRPr="00E93EE0">
        <w:rPr>
          <w:rFonts w:eastAsia="Times New Roman" w:cs="Times New Roman"/>
          <w:szCs w:val="24"/>
          <w:lang w:eastAsia="es-CO"/>
        </w:rPr>
        <w:t xml:space="preserve"> de CREE como se desprende del parágrafo 1° del artículo 2° del Decreto número 1828 de 2013, el cual establece que </w:t>
      </w:r>
      <w:r w:rsidRPr="00E93EE0">
        <w:rPr>
          <w:rFonts w:eastAsia="Times New Roman" w:cs="Times New Roman"/>
          <w:i/>
          <w:iCs/>
          <w:szCs w:val="24"/>
          <w:lang w:eastAsia="es-CO"/>
        </w:rPr>
        <w:t xml:space="preserve">“[l]os </w:t>
      </w:r>
      <w:proofErr w:type="spellStart"/>
      <w:r w:rsidRPr="00E93EE0">
        <w:rPr>
          <w:rFonts w:eastAsia="Times New Roman" w:cs="Times New Roman"/>
          <w:i/>
          <w:iCs/>
          <w:szCs w:val="24"/>
          <w:lang w:eastAsia="es-CO"/>
        </w:rPr>
        <w:t>autorretenedores</w:t>
      </w:r>
      <w:proofErr w:type="spellEnd"/>
      <w:r w:rsidRPr="00E93EE0">
        <w:rPr>
          <w:rFonts w:eastAsia="Times New Roman" w:cs="Times New Roman"/>
          <w:i/>
          <w:iCs/>
          <w:szCs w:val="24"/>
          <w:lang w:eastAsia="es-CO"/>
        </w:rPr>
        <w:t xml:space="preserve"> por concepto del impuesto sobre la renta para la equidad – CREE, deberán cumplir las obligaciones establecidas en el Título II del Libro Segundo del Estatuto Tributario y </w:t>
      </w:r>
      <w:r w:rsidRPr="00E93EE0">
        <w:rPr>
          <w:rFonts w:eastAsia="Times New Roman" w:cs="Times New Roman"/>
          <w:b/>
          <w:bCs/>
          <w:i/>
          <w:iCs/>
          <w:szCs w:val="24"/>
          <w:lang w:eastAsia="es-CO"/>
        </w:rPr>
        <w:t>estarán sometidos al procedimiento y régimen sancionatorio establecido en el Estatuto Tributario</w:t>
      </w:r>
      <w:r w:rsidRPr="00E93EE0">
        <w:rPr>
          <w:rFonts w:eastAsia="Times New Roman" w:cs="Times New Roman"/>
          <w:i/>
          <w:iCs/>
          <w:szCs w:val="24"/>
          <w:lang w:eastAsia="es-CO"/>
        </w:rPr>
        <w:t>” </w:t>
      </w:r>
      <w:r w:rsidRPr="00E93EE0">
        <w:rPr>
          <w:rFonts w:eastAsia="Times New Roman" w:cs="Times New Roman"/>
          <w:szCs w:val="24"/>
          <w:lang w:eastAsia="es-CO"/>
        </w:rPr>
        <w:t>(negrilla fuera de texto).</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Así las cosas, ya que el beneficio descrito en el parágrafo 3° del artículo 57 de la Ley 1739 de 2014 cobija las </w:t>
      </w:r>
      <w:r w:rsidRPr="00E93EE0">
        <w:rPr>
          <w:rFonts w:eastAsia="Times New Roman" w:cs="Times New Roman"/>
          <w:i/>
          <w:iCs/>
          <w:szCs w:val="24"/>
          <w:lang w:eastAsia="es-CO"/>
        </w:rPr>
        <w:t xml:space="preserve">“declaraciones de retención en la </w:t>
      </w:r>
      <w:proofErr w:type="spellStart"/>
      <w:r w:rsidRPr="00E93EE0">
        <w:rPr>
          <w:rFonts w:eastAsia="Times New Roman" w:cs="Times New Roman"/>
          <w:i/>
          <w:iCs/>
          <w:szCs w:val="24"/>
          <w:lang w:eastAsia="es-CO"/>
        </w:rPr>
        <w:t>fuente</w:t>
      </w:r>
      <w:r w:rsidRPr="00E93EE0">
        <w:rPr>
          <w:rFonts w:eastAsia="Times New Roman" w:cs="Times New Roman"/>
          <w:b/>
          <w:bCs/>
          <w:i/>
          <w:iCs/>
          <w:szCs w:val="24"/>
          <w:lang w:eastAsia="es-CO"/>
        </w:rPr>
        <w:t>en</w:t>
      </w:r>
      <w:proofErr w:type="spellEnd"/>
      <w:r w:rsidRPr="00E93EE0">
        <w:rPr>
          <w:rFonts w:eastAsia="Times New Roman" w:cs="Times New Roman"/>
          <w:b/>
          <w:bCs/>
          <w:i/>
          <w:iCs/>
          <w:szCs w:val="24"/>
          <w:lang w:eastAsia="es-CO"/>
        </w:rPr>
        <w:t xml:space="preserve"> relación con períodos gravables anteriores al 1° de enero de 2015</w:t>
      </w:r>
      <w:r w:rsidRPr="00E93EE0">
        <w:rPr>
          <w:rFonts w:eastAsia="Times New Roman" w:cs="Times New Roman"/>
          <w:i/>
          <w:iCs/>
          <w:szCs w:val="24"/>
          <w:lang w:eastAsia="es-CO"/>
        </w:rPr>
        <w:t>, sobre los cuales se haya configurado la ineficiencia” (sic) </w:t>
      </w:r>
      <w:r w:rsidRPr="00E93EE0">
        <w:rPr>
          <w:rFonts w:eastAsia="Times New Roman" w:cs="Times New Roman"/>
          <w:szCs w:val="24"/>
          <w:lang w:eastAsia="es-CO"/>
        </w:rPr>
        <w:t>(negrilla fuera de texto), es de concluir:</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i) Que el beneficio se circunscribe únicamente a las declaraciones de retención en la fuente que fueron presentadas oportuna o extemporáneamente antes del 1° de enero de 2015, sobre las cuales se configuró la ineficacia del </w:t>
      </w:r>
      <w:hyperlink r:id="rId16" w:tooltip="Estatuto Tributario CETA" w:history="1">
        <w:r w:rsidRPr="00E93EE0">
          <w:rPr>
            <w:rFonts w:eastAsia="Times New Roman" w:cs="Times New Roman"/>
            <w:szCs w:val="24"/>
            <w:lang w:eastAsia="es-CO"/>
          </w:rPr>
          <w:t>artículo 580-1</w:t>
        </w:r>
      </w:hyperlink>
      <w:r w:rsidRPr="00E93EE0">
        <w:rPr>
          <w:rFonts w:eastAsia="Times New Roman" w:cs="Times New Roman"/>
          <w:szCs w:val="24"/>
          <w:lang w:eastAsia="es-CO"/>
        </w:rPr>
        <w:t> del Estatuto Tributario.</w:t>
      </w:r>
    </w:p>
    <w:p w:rsidR="00E93EE0" w:rsidRPr="00E93EE0" w:rsidRDefault="00E93EE0" w:rsidP="00E93EE0">
      <w:pPr>
        <w:spacing w:after="0" w:line="240" w:lineRule="auto"/>
        <w:jc w:val="both"/>
        <w:rPr>
          <w:rFonts w:eastAsia="Times New Roman" w:cs="Times New Roman"/>
          <w:szCs w:val="24"/>
          <w:lang w:eastAsia="es-CO"/>
        </w:rPr>
      </w:pP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xml:space="preserve">ii) Que las declaraciones de retención en la fuente del mes de diciembre de 2014 y las de </w:t>
      </w:r>
      <w:proofErr w:type="spellStart"/>
      <w:r w:rsidRPr="00E93EE0">
        <w:rPr>
          <w:rFonts w:eastAsia="Times New Roman" w:cs="Times New Roman"/>
          <w:szCs w:val="24"/>
          <w:lang w:eastAsia="es-CO"/>
        </w:rPr>
        <w:t>autorretención</w:t>
      </w:r>
      <w:proofErr w:type="spellEnd"/>
      <w:r w:rsidRPr="00E93EE0">
        <w:rPr>
          <w:rFonts w:eastAsia="Times New Roman" w:cs="Times New Roman"/>
          <w:szCs w:val="24"/>
          <w:lang w:eastAsia="es-CO"/>
        </w:rPr>
        <w:t xml:space="preserve"> a título del CREE del mismo período y del cuatrimestre septiembre-diciembre de 2014 no gozan del beneficio, pues su presentación y pago se efectúa después del 1° enero de 2015. Por lo mismo, también quedan descartadas de plano las declaraciones de retención en la fuente que se presentan por primera vez después de la entrada en vigencia de la Ley 1739 de 2014.</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t>Atentamente,</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i/>
          <w:iCs/>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i/>
          <w:iCs/>
          <w:szCs w:val="24"/>
          <w:lang w:eastAsia="es-CO"/>
        </w:rPr>
        <w:t> </w:t>
      </w:r>
    </w:p>
    <w:p w:rsidR="00E93EE0" w:rsidRPr="00E93EE0" w:rsidRDefault="00E93EE0" w:rsidP="00E93EE0">
      <w:pPr>
        <w:spacing w:after="0" w:line="240" w:lineRule="auto"/>
        <w:jc w:val="both"/>
        <w:rPr>
          <w:rFonts w:eastAsia="Times New Roman" w:cs="Times New Roman"/>
          <w:szCs w:val="24"/>
          <w:lang w:eastAsia="es-CO"/>
        </w:rPr>
      </w:pPr>
      <w:proofErr w:type="spellStart"/>
      <w:r w:rsidRPr="00E93EE0">
        <w:rPr>
          <w:rFonts w:eastAsia="Times New Roman" w:cs="Times New Roman"/>
          <w:i/>
          <w:iCs/>
          <w:szCs w:val="24"/>
          <w:lang w:eastAsia="es-CO"/>
        </w:rPr>
        <w:t>Yumer</w:t>
      </w:r>
      <w:proofErr w:type="spellEnd"/>
      <w:r w:rsidRPr="00E93EE0">
        <w:rPr>
          <w:rFonts w:eastAsia="Times New Roman" w:cs="Times New Roman"/>
          <w:i/>
          <w:iCs/>
          <w:szCs w:val="24"/>
          <w:lang w:eastAsia="es-CO"/>
        </w:rPr>
        <w:t xml:space="preserve"> </w:t>
      </w:r>
      <w:proofErr w:type="spellStart"/>
      <w:r w:rsidRPr="00E93EE0">
        <w:rPr>
          <w:rFonts w:eastAsia="Times New Roman" w:cs="Times New Roman"/>
          <w:i/>
          <w:iCs/>
          <w:szCs w:val="24"/>
          <w:lang w:eastAsia="es-CO"/>
        </w:rPr>
        <w:t>Yoel</w:t>
      </w:r>
      <w:proofErr w:type="spellEnd"/>
      <w:r w:rsidRPr="00E93EE0">
        <w:rPr>
          <w:rFonts w:eastAsia="Times New Roman" w:cs="Times New Roman"/>
          <w:i/>
          <w:iCs/>
          <w:szCs w:val="24"/>
          <w:lang w:eastAsia="es-CO"/>
        </w:rPr>
        <w:t xml:space="preserve"> Aguilar Vargas.</w:t>
      </w:r>
    </w:p>
    <w:p w:rsidR="00E93EE0" w:rsidRPr="00E93EE0" w:rsidRDefault="00E93EE0" w:rsidP="00E93EE0">
      <w:pPr>
        <w:spacing w:after="0" w:line="240" w:lineRule="auto"/>
        <w:jc w:val="both"/>
        <w:rPr>
          <w:rFonts w:eastAsia="Times New Roman" w:cs="Times New Roman"/>
          <w:szCs w:val="24"/>
          <w:lang w:eastAsia="es-CO"/>
        </w:rPr>
      </w:pPr>
      <w:r w:rsidRPr="00E93EE0">
        <w:rPr>
          <w:rFonts w:eastAsia="Times New Roman" w:cs="Times New Roman"/>
          <w:szCs w:val="24"/>
          <w:lang w:eastAsia="es-CO"/>
        </w:rPr>
        <w:lastRenderedPageBreak/>
        <w:t>Subdirector de Gestión Normativa y Doctrina.</w:t>
      </w:r>
    </w:p>
    <w:p w:rsidR="00E93EE0" w:rsidRDefault="00E93EE0" w:rsidP="00E93EE0">
      <w:pPr>
        <w:spacing w:after="0" w:line="240" w:lineRule="auto"/>
        <w:jc w:val="both"/>
        <w:rPr>
          <w:rFonts w:eastAsia="Times New Roman" w:cs="Times New Roman"/>
          <w:b/>
          <w:bCs/>
          <w:szCs w:val="24"/>
          <w:lang w:eastAsia="es-CO"/>
        </w:rPr>
      </w:pPr>
      <w:r w:rsidRPr="00E93EE0">
        <w:rPr>
          <w:rFonts w:eastAsia="Times New Roman" w:cs="Times New Roman"/>
          <w:b/>
          <w:bCs/>
          <w:szCs w:val="24"/>
          <w:lang w:eastAsia="es-CO"/>
        </w:rPr>
        <w:t>Publicado en D.O. 49.553 del 24 de junio de 2015.</w:t>
      </w:r>
    </w:p>
    <w:p w:rsidR="00E93EE0" w:rsidRPr="00E93EE0" w:rsidRDefault="00E93EE0" w:rsidP="00E93EE0">
      <w:pPr>
        <w:spacing w:after="0" w:line="240" w:lineRule="auto"/>
        <w:jc w:val="both"/>
        <w:rPr>
          <w:rFonts w:eastAsia="Times New Roman" w:cs="Times New Roman"/>
          <w:szCs w:val="24"/>
          <w:lang w:eastAsia="es-CO"/>
        </w:rPr>
      </w:pPr>
      <w:r>
        <w:rPr>
          <w:rFonts w:eastAsia="Times New Roman" w:cs="Times New Roman"/>
          <w:b/>
          <w:bCs/>
          <w:szCs w:val="24"/>
          <w:lang w:eastAsia="es-CO"/>
        </w:rPr>
        <w:t>_________________________________________________________________________</w:t>
      </w:r>
    </w:p>
    <w:p w:rsidR="00E93EE0" w:rsidRPr="00E93EE0" w:rsidRDefault="00E93EE0" w:rsidP="00E93EE0">
      <w:pPr>
        <w:spacing w:after="285" w:line="240" w:lineRule="auto"/>
        <w:jc w:val="both"/>
        <w:rPr>
          <w:rFonts w:eastAsia="Times New Roman" w:cs="Times New Roman"/>
          <w:szCs w:val="24"/>
          <w:lang w:eastAsia="es-CO"/>
        </w:rPr>
      </w:pPr>
      <w:r w:rsidRPr="00E93EE0">
        <w:rPr>
          <w:rFonts w:eastAsia="Times New Roman" w:cs="Times New Roman"/>
          <w:szCs w:val="24"/>
          <w:lang w:eastAsia="es-CO"/>
        </w:rPr>
        <w:t> </w:t>
      </w:r>
    </w:p>
    <w:p w:rsidR="00961BFA" w:rsidRPr="00E93EE0" w:rsidRDefault="00961BFA">
      <w:pPr>
        <w:rPr>
          <w:rFonts w:cs="Times New Roman"/>
          <w:szCs w:val="24"/>
        </w:rPr>
      </w:pPr>
    </w:p>
    <w:sectPr w:rsidR="00961BFA" w:rsidRPr="00E93EE0"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E0"/>
    <w:rsid w:val="0029351E"/>
    <w:rsid w:val="00961BFA"/>
    <w:rsid w:val="00B94BED"/>
    <w:rsid w:val="00E3651C"/>
    <w:rsid w:val="00E93E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B8C63-FEE9-4046-A7C9-C3AD075F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33804" TargetMode="External"/><Relationship Id="rId13" Type="http://schemas.openxmlformats.org/officeDocument/2006/relationships/hyperlink" Target="http://www.ceta.org.co/html/vista_de_un_articulo.asp?Norma=3380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eta.org.co/html/vista_de_un_articulo.asp?Norma=1013" TargetMode="External"/><Relationship Id="rId12" Type="http://schemas.openxmlformats.org/officeDocument/2006/relationships/hyperlink" Target="http://www.ceta.org.co/html/vista_de_un_articulo.asp?Norma=3380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eta.org.co/html/vista_de_un_articulo.asp?Norma=26860" TargetMode="External"/><Relationship Id="rId1" Type="http://schemas.openxmlformats.org/officeDocument/2006/relationships/styles" Target="styles.xml"/><Relationship Id="rId6" Type="http://schemas.openxmlformats.org/officeDocument/2006/relationships/hyperlink" Target="http://www.ceta.org.co/html/vista_de_un_articulo.asp?Norma=33809" TargetMode="External"/><Relationship Id="rId11" Type="http://schemas.openxmlformats.org/officeDocument/2006/relationships/hyperlink" Target="http://www.ceta.org.co/html/vista_de_un_articulo.asp?Norma=33809" TargetMode="External"/><Relationship Id="rId5" Type="http://schemas.openxmlformats.org/officeDocument/2006/relationships/hyperlink" Target="http://www.ceta.org.co/html/vista_de_un_articulo.asp?Norma=33804" TargetMode="External"/><Relationship Id="rId15" Type="http://schemas.openxmlformats.org/officeDocument/2006/relationships/hyperlink" Target="http://www.ceta.org.co/html/vista_de_un_articulo.asp?Norma=26860" TargetMode="External"/><Relationship Id="rId10" Type="http://schemas.openxmlformats.org/officeDocument/2006/relationships/hyperlink" Target="http://www.ceta.org.co/html/vista_de_un_articulo.asp?Norma=272" TargetMode="External"/><Relationship Id="rId4" Type="http://schemas.openxmlformats.org/officeDocument/2006/relationships/hyperlink" Target="http://www.ceta.org.co/html/vista_de_un_articulo.asp?Norma=272" TargetMode="External"/><Relationship Id="rId9" Type="http://schemas.openxmlformats.org/officeDocument/2006/relationships/hyperlink" Target="http://www.ceta.org.co/html/vista_de_un_articulo.asp?Norma=272" TargetMode="External"/><Relationship Id="rId14" Type="http://schemas.openxmlformats.org/officeDocument/2006/relationships/hyperlink" Target="http://www.ceta.org.co/html/vista_de_un_articulo.asp?Norma=10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2256</Words>
  <Characters>12412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2015-07-05T17:14:00Z</dcterms:created>
  <dcterms:modified xsi:type="dcterms:W3CDTF">2015-07-05T17:17:00Z</dcterms:modified>
</cp:coreProperties>
</file>